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45" w:rsidRPr="00DF1245" w:rsidRDefault="00DF1245" w:rsidP="00DF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Língua de Fuga</w:t>
      </w:r>
    </w:p>
    <w:p w:rsidR="00DF1245" w:rsidRPr="00DF1245" w:rsidRDefault="00DF1245" w:rsidP="00DF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Edimárcio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William Vicente Medeiros</w:t>
      </w:r>
    </w:p>
    <w:p w:rsidR="00DF1245" w:rsidRPr="00DF1245" w:rsidRDefault="00DF1245" w:rsidP="00DF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Auterives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Maciel Junior</w:t>
      </w:r>
    </w:p>
    <w:p w:rsidR="00DF1245" w:rsidRPr="00DF1245" w:rsidRDefault="00DF1245" w:rsidP="00DF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Ato de Escrever, Fora, Dissolvência do “eu”, Produção de Subjetividade, Clínica e Literatura</w:t>
      </w:r>
    </w:p>
    <w:p w:rsidR="00DF1245" w:rsidRPr="00DF1245" w:rsidRDefault="00DF1245" w:rsidP="00DF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DF1245" w:rsidRPr="00DF1245" w:rsidRDefault="00DF1245" w:rsidP="00DF1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</w:t>
      </w:r>
    </w:p>
    <w:p w:rsidR="00DF1245" w:rsidRPr="00DF1245" w:rsidRDefault="00DF1245" w:rsidP="00DF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dissertação tem como foco de trabalho o ato de escrever. Através da distinção entre a palavra bruta e palavra essencial proferida por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Stéphane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Mallarmé, se evoca o caráter de contestação e de realização autônomas da palavra. Pontuamos que é a partir do final do século XVIII, e início do século XIX, que noções como as de autor e obra são cada vez mais questionadas, em favor de uma discussão sobre o estatuto moderno da experimentação da escrita. Nesses termos, delimitamos um eixo de trabalho com Maurice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Blanchot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dirige a investigação do “ato só de escrever”, do poeta francês, na qual essa questão se vê inserida. A partir da abordagem de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Blanchot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(1987) marcamos a menção recursiva de pensadores da filosofia da diferença, como Deleuze (1997) e Foucault (1966), leitores de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Blanchot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Acredita-se que tais pensadores reforçam esse movimento de elisão da autoria e da obra, permitindo dizer que se expor à experiência do escrever é também afirmar uma situação extrema: a que nos faz passar a dizer cada vez menos “eu”. A manifestação dessa proposta diz respeito, portanto, a afirmação de </w:t>
      </w:r>
      <w:proofErr w:type="gram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modo de pensamento, não representativo, delimitado no pensamento do Fora. Nosso objetivo é apresentar, nesse enfoque, como os estados e sensações inerentes ao gesto “banal” de escrever favorecem pensar a respeito da noção de produção de subjetividade. Intercala-se aqui a experiência do escrever como uma relação com esse Fora, que estabelece estados de modificação subjetiva singulares aqui delimitados como impessoais. Para integrar essa característica discorremos sobre o ato de escrever em Paul </w:t>
      </w:r>
      <w:proofErr w:type="spellStart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Valéry</w:t>
      </w:r>
      <w:proofErr w:type="spellEnd"/>
      <w:r w:rsidRPr="00DF1245">
        <w:rPr>
          <w:rFonts w:ascii="Times New Roman" w:eastAsia="Times New Roman" w:hAnsi="Times New Roman" w:cs="Times New Roman"/>
          <w:sz w:val="24"/>
          <w:szCs w:val="24"/>
          <w:lang w:eastAsia="pt-BR"/>
        </w:rPr>
        <w:t>, Marguerite Duras e, sobretudo, em Clarice Lispector. Esperamos a partir disso, que este trabalho contribua para pesquisas que tenham como enfoque a interface entre clínica e literatura.</w:t>
      </w:r>
    </w:p>
    <w:p w:rsidR="002E2D6B" w:rsidRDefault="002E2D6B"/>
    <w:sectPr w:rsidR="002E2D6B" w:rsidSect="002E2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245"/>
    <w:rsid w:val="002E2D6B"/>
    <w:rsid w:val="00D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2021-05-27T17:43:00Z</dcterms:created>
  <dcterms:modified xsi:type="dcterms:W3CDTF">2021-05-27T17:47:00Z</dcterms:modified>
</cp:coreProperties>
</file>